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Style w:val="FontStyle77"/>
          <w:sz w:val="24"/>
          <w:szCs w:val="24"/>
        </w:rPr>
      </w:pPr>
      <w:r>
        <w:rPr>
          <w:rFonts w:cs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pStyle w:val="Normal"/>
        <w:rPr>
          <w:rStyle w:val="FontStyle77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Style w:val="FontStyle77"/>
          <w:sz w:val="24"/>
          <w:szCs w:val="24"/>
        </w:rPr>
      </w:pPr>
      <w:r>
        <w:rPr>
          <w:rFonts w:cs="Times New Roman"/>
          <w:i/>
          <w:sz w:val="28"/>
        </w:rPr>
        <w:t>Учебная дисциплина</w:t>
      </w:r>
      <w:r>
        <w:rPr>
          <w:rFonts w:cs="Times New Roman"/>
          <w:b/>
          <w:i/>
          <w:sz w:val="28"/>
        </w:rPr>
        <w:t>: Теория и практика PR</w:t>
      </w:r>
    </w:p>
    <w:p>
      <w:pPr>
        <w:pStyle w:val="Normal"/>
        <w:rPr>
          <w:rStyle w:val="FontStyle77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Style w:val="FontStyle77"/>
          <w:sz w:val="24"/>
          <w:szCs w:val="24"/>
        </w:rPr>
      </w:pPr>
      <w:r>
        <w:rPr>
          <w:rFonts w:cs="Times New Roman"/>
          <w:sz w:val="28"/>
        </w:rPr>
        <w:t>Компетенции:</w:t>
      </w:r>
    </w:p>
    <w:p>
      <w:pPr>
        <w:pStyle w:val="Normal"/>
        <w:jc w:val="both"/>
        <w:rPr>
          <w:rStyle w:val="FontStyle77"/>
          <w:sz w:val="24"/>
          <w:szCs w:val="24"/>
        </w:rPr>
      </w:pPr>
      <w:r>
        <w:rPr>
          <w:rStyle w:val="FontStyle77"/>
          <w:rFonts w:cs="Times New Roman"/>
          <w:sz w:val="28"/>
          <w:szCs w:val="24"/>
        </w:rPr>
        <w:t>УК-11, УК-12, ПКН-4, ПКН-9</w:t>
      </w:r>
    </w:p>
    <w:p>
      <w:pPr>
        <w:pStyle w:val="Normal"/>
        <w:rPr>
          <w:rStyle w:val="FontStyle77"/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5039"/>
        <w:gridCol w:w="1658"/>
        <w:gridCol w:w="1430"/>
      </w:tblGrid>
      <w:tr>
        <w:trPr>
          <w:tblHeader w:val="true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/>
                <w:b/>
                <w:sz w:val="22"/>
                <w:szCs w:val="22"/>
              </w:rPr>
              <w:t xml:space="preserve">Номер задания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/>
                <w:b/>
                <w:sz w:val="22"/>
                <w:szCs w:val="22"/>
              </w:rPr>
              <w:t>Содержание задания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/>
                <w:b/>
                <w:sz w:val="22"/>
                <w:szCs w:val="22"/>
              </w:rPr>
              <w:t>Правильный ответ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/>
                <w:b/>
                <w:sz w:val="22"/>
                <w:szCs w:val="22"/>
              </w:rPr>
              <w:t>Компетенция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Как можно назвать процесс получения новой информации на базе уже имеющейся с изменением ее содержания или формы представления?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/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обработка информации</w:t>
            </w:r>
            <w:r>
              <w:rPr>
                <w:rStyle w:val="Style14"/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Как называется совокупность средств и методов сбора, обработки и передачи данных (первичной информации) для получения информации нового качества о состоянии объекта, процесса или явления (информационного продукта)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Информационная технология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Что является элементом, составляющим знак охраны авторских прав?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Латинская буква «С» в окружности (©)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134" w:leader="none"/>
              </w:tabs>
              <w:spacing w:beforeAutospacing="0" w:before="0" w:afterAutospacing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Что такое плагиат?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ind w:firstLine="31"/>
              <w:jc w:val="both"/>
              <w:rPr/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Умышленное присвоение авторства на чужое произведение науки, литературы или искусства в целом или в частности</w:t>
            </w:r>
            <w:r>
              <w:rPr>
                <w:rStyle w:val="Style14"/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 xml:space="preserve"> 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За что несет ответственность рекламодатель при создании рекламы?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Содержание информации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 xml:space="preserve">Что такое массовая информация? 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 xml:space="preserve">Публично распространяемая печатная и аудиовизуальная 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252" w:leader="none"/>
              </w:tabs>
              <w:spacing w:lineRule="auto" w:line="240" w:before="0" w:after="200"/>
              <w:ind w:left="0" w:hanging="0"/>
              <w:contextualSpacing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С какого момента возникает авторское право?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С момента создания произведения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IP-телефония, что это?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53" w:leader="none"/>
              </w:tabs>
              <w:spacing w:lineRule="auto" w:line="24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Общение по телефону через Интернет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Что такое «Спам»?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Массовая автоматическая рассылка рекламных электронных сообщений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Что происходит при  изменении размеров растрового изображения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ind w:hanging="91"/>
              <w:jc w:val="both"/>
              <w:textAlignment w:val="baseline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Качество ухудшается при увеличении (появляется зернистость)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 - 11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Вам необходимо написать пресс-релиз. По какому принципу Вы будете его писать?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3" w:leader="none"/>
              </w:tabs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по принципу пирамиды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Пресс-релизы бывают нескольких видов, в зависимости от целей публикации. Назовите виды пресс-релизов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информационные;</w:t>
            </w:r>
          </w:p>
          <w:p>
            <w:pPr>
              <w:pStyle w:val="Normal"/>
              <w:widowControl w:val="false"/>
              <w:shd w:val="clear" w:fill="FFFFFF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анонсирующие;</w:t>
            </w:r>
          </w:p>
          <w:p>
            <w:pPr>
              <w:pStyle w:val="Normal"/>
              <w:widowControl w:val="false"/>
              <w:shd w:val="clear" w:fill="FFFFFF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рекламные;</w:t>
            </w:r>
          </w:p>
          <w:p>
            <w:pPr>
              <w:pStyle w:val="Normal"/>
              <w:widowControl w:val="false"/>
              <w:shd w:val="clear" w:fill="FFFFFF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пиар-ориентированные;</w:t>
            </w:r>
          </w:p>
          <w:p>
            <w:pPr>
              <w:pStyle w:val="Normal"/>
              <w:widowControl w:val="false"/>
              <w:shd w:val="clear" w:fill="FFFFFF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динамические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Грамотно составить лид не сложно. Достаточно четко ответить на пять вопросов. Какие это вопросы?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«Когда?», «Где?» «Кто (что)?», «Почему (для чего)?», «Как?»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В структуру пресс-релиза входит заголовок. Как Вы считаете, в чем основная ценность заголовка пресс-релиза?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в информативности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Общественное мнение в обобщенном виде означает совокупность взглядов индивидов на определенную проблему. Как Вы считаете, что используется в PR для влияния на общественное мнение? 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Любая информация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Вам необходимо осуществить планирование PR акции. Назовите 3 этапа планирования PR акции.</w:t>
            </w:r>
          </w:p>
          <w:p>
            <w:pPr>
              <w:pStyle w:val="Style22"/>
              <w:widowControl w:val="false"/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tabs>
                <w:tab w:val="clear" w:pos="708"/>
                <w:tab w:val="left" w:pos="36" w:leader="none"/>
              </w:tabs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1. определение проблемы</w:t>
            </w:r>
          </w:p>
          <w:p>
            <w:pPr>
              <w:pStyle w:val="Style22"/>
              <w:widowControl w:val="false"/>
              <w:tabs>
                <w:tab w:val="clear" w:pos="708"/>
                <w:tab w:val="left" w:pos="36" w:leader="none"/>
              </w:tabs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2. планирование программы</w:t>
            </w:r>
          </w:p>
          <w:p>
            <w:pPr>
              <w:pStyle w:val="Style22"/>
              <w:widowControl w:val="false"/>
              <w:tabs>
                <w:tab w:val="clear" w:pos="708"/>
                <w:tab w:val="left" w:pos="36" w:leader="none"/>
              </w:tabs>
              <w:spacing w:before="0" w:after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3.интерпретация общественного мнения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 xml:space="preserve">Известно, что массовая коммуникация является частным случаем социальной коммуникации. Что можно отнести к характеристике массовой коммуникации?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опосредованный характер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Вам необходимо написать пресс-релиз. Как Вы считаете, каков объем пресс-релиза?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1 страница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val="ru-RU" w:eastAsia="en-US" w:bidi="ar-SA"/>
              </w:rPr>
              <w:t>Создана письменная форма согласительного порядка между рекламодателем и рекламистом, где прописываются основные параметры будущей рекламной кампании. Что это за форма?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val="ru-RU" w:eastAsia="en-US" w:bidi="ar-SA"/>
              </w:rPr>
              <w:t>бриф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Компания выпустило издание, не сброшюрованное, а многократно сфальцованное. Что это за издание?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0"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буклет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УК-12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является обеспечением быстрого, краткосрочного всплеска интереса и активности покупателей (в том числе посреднических организаций) относительно продвигаемого товара?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Стимулирование сбыта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входит в интегрированные маркетинговые коммуникации?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Реклама, PR, стимулирование сбыта и прямой маркетинг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Деловая репутация организации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Назовите основные элементы имиджа (не менее трех)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–бизнес-имидж организации.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относится к средствам прямой рекламы?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Назовите не менее трех. 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Что является преимуществом прямой рекламы? 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входит в рекламные материалы? Назовите не менее трех.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Прямой маркетинг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содействия продажам?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Торгово-промышленная выставка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Сенсорный маркетинг</w:t>
            </w:r>
            <w:bookmarkStart w:id="0" w:name="_GoBack"/>
            <w:bookmarkEnd w:id="0"/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ПКН-4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является обеспечением быстрого, краткосрочного всплеска интереса и активности покупателей (в том числе посреднических организаций) относительно продвигаемого товара?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Стимулирование сбыта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входит в интегрированные маркетинговые коммуникации?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Реклама, PR, стимулирование сбыта и прямой маркетинг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Особый нематериальный актив, представляющий собой объективно сформировавшуюся совокупность представлений и мнений сторон, связанных с организацией и входящих в её бизнес-среду.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Деловая репутация организации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Назовите основные элементы имиджа (не менее трех)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1-имидж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 –бизнес-имидж организации.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относится к средствам прямой рекламы?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Назовите не менее трех. 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Реклама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Что является преимуществом прямой рекламы? 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При минимальных затратах средств имеет высокую избирательную способность.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Что входит в рекламные материалы? Назовите не менее трех.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Прямые контакты с покупателями с применением электронных и печатных средств коммуникации, на основе имеющихся баз данных о потенциальных покупателях, с целью совершения продаж товара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Прямой маркетинг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Как называется кратковременное, периодически и обычно в одном и том же месте проводимое мероприятие, в рамках которого предприятия - экспоненты с помощью образцов (экспонатов) создают представительную картину предложения товаров (услуг), технологий одной или нескольких отраслей и стремятся проинформировать конечных потребителей и / или торговых посредников о себе и о своей продукции с конечной целью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содействия продажам?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Торгово-промышленная выставка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  <w:tr>
        <w:trPr/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720" w:right="0" w:hanging="360"/>
              <w:contextualSpacing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Как называется организация информирования потенциальных покупателей о продвигаемом (предлагаемом) товаре в комплексе с одновременным активным воздействием на все его чувства восприятия окружающей действительности: зрение, слух, обоняние, осязание и вкус?</w:t>
            </w:r>
          </w:p>
        </w:tc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Сенсорный маркетинг</w:t>
            </w:r>
            <w:bookmarkStart w:id="1" w:name="_GoBack_Копия_1"/>
            <w:bookmarkEnd w:id="1"/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ПКН-9</w:t>
            </w:r>
          </w:p>
        </w:tc>
      </w:tr>
    </w:tbl>
    <w:p>
      <w:pPr>
        <w:pStyle w:val="Style42"/>
        <w:widowControl/>
        <w:tabs>
          <w:tab w:val="clear" w:pos="708"/>
          <w:tab w:val="left" w:pos="1985" w:leader="none"/>
        </w:tabs>
        <w:spacing w:lineRule="auto" w:line="240"/>
        <w:ind w:left="0" w:right="0" w:hanging="0"/>
        <w:rPr>
          <w:rStyle w:val="FontStyle77"/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type w:val="nextPage"/>
      <w:pgSz w:w="11906" w:h="16838"/>
      <w:pgMar w:left="1701" w:right="850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1"/>
      <w:widowControl/>
      <w:spacing w:lineRule="exact" w:line="317"/>
      <w:ind w:left="4882" w:right="0" w:hanging="0"/>
      <w:rPr/>
    </w:pPr>
    <w:r>
      <w:rPr>
        <w:rStyle w:val="FontStyle79"/>
        <w:sz w:val="24"/>
        <w:szCs w:val="24"/>
      </w:rPr>
      <w:fldChar w:fldCharType="begin"/>
    </w:r>
    <w:r>
      <w:rPr>
        <w:rStyle w:val="FontStyle79"/>
        <w:sz w:val="24"/>
        <w:szCs w:val="24"/>
      </w:rPr>
      <w:instrText xml:space="preserve"> PAGE </w:instrText>
    </w:r>
    <w:r>
      <w:rPr>
        <w:rStyle w:val="FontStyle79"/>
        <w:sz w:val="24"/>
        <w:szCs w:val="24"/>
      </w:rPr>
      <w:fldChar w:fldCharType="separate"/>
    </w:r>
    <w:r>
      <w:rPr>
        <w:rStyle w:val="FontStyle79"/>
        <w:sz w:val="24"/>
        <w:szCs w:val="24"/>
      </w:rPr>
      <w:t>6</w:t>
    </w:r>
    <w:r>
      <w:rPr>
        <w:rStyle w:val="FontStyle79"/>
        <w:sz w:val="24"/>
        <w:szCs w:val="24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51"/>
      <w:widowControl/>
      <w:spacing w:lineRule="exact" w:line="317"/>
      <w:ind w:left="4882" w:right="0" w:hanging="0"/>
      <w:rPr/>
    </w:pPr>
    <w:r>
      <w:rPr>
        <w:rStyle w:val="FontStyle79"/>
      </w:rPr>
      <w:fldChar w:fldCharType="begin"/>
    </w:r>
    <w:r>
      <w:rPr>
        <w:rStyle w:val="FontStyle79"/>
      </w:rPr>
      <w:instrText xml:space="preserve"> PAGE </w:instrText>
    </w:r>
    <w:r>
      <w:rPr>
        <w:rStyle w:val="FontStyle79"/>
      </w:rPr>
      <w:fldChar w:fldCharType="separate"/>
    </w:r>
    <w:r>
      <w:rPr>
        <w:rStyle w:val="FontStyle79"/>
      </w:rPr>
      <w:t>5</w:t>
    </w:r>
    <w:r>
      <w:rPr>
        <w:rStyle w:val="FontStyle79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a044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22"/>
    <w:qFormat/>
    <w:rsid w:val="002a044a"/>
    <w:rPr>
      <w:b/>
      <w:bCs/>
    </w:rPr>
  </w:style>
  <w:style w:type="character" w:styleId="Style14">
    <w:name w:val="Emphasis"/>
    <w:uiPriority w:val="20"/>
    <w:qFormat/>
    <w:rsid w:val="002a044a"/>
    <w:rPr>
      <w:i/>
      <w:iCs/>
    </w:rPr>
  </w:style>
  <w:style w:type="character" w:styleId="-">
    <w:name w:val="Hyperlink"/>
    <w:basedOn w:val="DefaultParagraphFont"/>
    <w:uiPriority w:val="99"/>
    <w:semiHidden/>
    <w:unhideWhenUsed/>
    <w:rsid w:val="00912f46"/>
    <w:rPr>
      <w:color w:val="0000FF"/>
      <w:u w:val="single"/>
    </w:rPr>
  </w:style>
  <w:style w:type="character" w:styleId="FontStyle77">
    <w:name w:val="Font Style77"/>
    <w:qFormat/>
    <w:rPr>
      <w:rFonts w:ascii="Times New Roman" w:hAnsi="Times New Roman" w:cs="Times New Roman"/>
      <w:sz w:val="26"/>
      <w:szCs w:val="26"/>
    </w:rPr>
  </w:style>
  <w:style w:type="character" w:styleId="FontStyle79">
    <w:name w:val="Font Style79"/>
    <w:qFormat/>
    <w:rPr>
      <w:rFonts w:ascii="Times New Roman" w:hAnsi="Times New Roman" w:cs="Times New Roman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2a044a"/>
    <w:pPr>
      <w:widowControl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1"/>
    <w:qFormat/>
    <w:rsid w:val="002a044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114c11"/>
    <w:pPr>
      <w:widowControl/>
      <w:spacing w:beforeAutospacing="1" w:afterAutospacing="1"/>
    </w:pPr>
    <w:rPr>
      <w:sz w:val="24"/>
      <w:szCs w:val="24"/>
    </w:rPr>
  </w:style>
  <w:style w:type="paragraph" w:styleId="Style42">
    <w:name w:val="Style42"/>
    <w:basedOn w:val="Normal"/>
    <w:qFormat/>
    <w:pPr>
      <w:spacing w:lineRule="exact" w:line="483"/>
      <w:ind w:left="0" w:right="0" w:firstLine="715"/>
      <w:jc w:val="both"/>
    </w:pPr>
    <w:rPr/>
  </w:style>
  <w:style w:type="paragraph" w:styleId="Style151">
    <w:name w:val="Style15"/>
    <w:basedOn w:val="Normal"/>
    <w:qFormat/>
    <w:pPr/>
    <w:rPr/>
  </w:style>
  <w:style w:type="paragraph" w:styleId="Style20">
    <w:name w:val="Абзац списка"/>
    <w:basedOn w:val="Normal"/>
    <w:qFormat/>
    <w:pPr>
      <w:widowControl/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Style21">
    <w:name w:val="Без интервал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22">
    <w:name w:val="Обычный (веб)"/>
    <w:basedOn w:val="Normal"/>
    <w:qFormat/>
    <w:pPr>
      <w:widowControl/>
      <w:spacing w:before="100" w:after="100"/>
    </w:pPr>
    <w:rPr>
      <w:rFonts w:cs="Times New Roman"/>
      <w:sz w:val="24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Footer"/>
    <w:basedOn w:val="Style23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2">
    <w:name w:val="WW8Num1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LibreOffice/7.5.2.1$Linux_X86_64 LibreOffice_project/50$Build-1</Application>
  <AppVersion>15.0000</AppVersion>
  <Pages>6</Pages>
  <Words>988</Words>
  <Characters>6504</Characters>
  <CharactersWithSpaces>7327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2023-04-11T10:37:00Z</dcterms:created>
  <dc:creator>User</dc:creator>
  <dc:description/>
  <dc:language>ru-RU</dc:language>
  <cp:lastModifiedBy/>
  <dcterms:modified xsi:type="dcterms:W3CDTF">2023-12-01T14:42:35Z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