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543"/>
        <w:gridCol w:w="1767"/>
        <w:gridCol w:w="1858"/>
        <w:gridCol w:w="1190"/>
        <w:gridCol w:w="1206"/>
        <w:gridCol w:w="4520"/>
        <w:gridCol w:w="1680"/>
      </w:tblGrid>
      <w:tr w:rsidR="00CA5529" w:rsidRPr="00CA5529" w:rsidTr="00CA5529">
        <w:tc>
          <w:tcPr>
            <w:tcW w:w="995" w:type="dxa"/>
            <w:tcBorders>
              <w:top w:val="single" w:sz="8" w:space="0" w:color="009AC3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 w:colFirst="1" w:colLast="1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1274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специальности, направления подготовки, наименование группы научных специальностей</w:t>
            </w:r>
          </w:p>
        </w:tc>
        <w:tc>
          <w:tcPr>
            <w:tcW w:w="1987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2128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программа, направленность, профиль, шифр и наименование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​​ой специальности </w:t>
            </w:r>
          </w:p>
        </w:tc>
        <w:tc>
          <w:tcPr>
            <w:tcW w:w="1412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419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научного направления / научной школы</w:t>
            </w:r>
          </w:p>
        </w:tc>
        <w:tc>
          <w:tcPr>
            <w:tcW w:w="3750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научной (научно-исследовательской) деятельности​</w:t>
            </w:r>
          </w:p>
        </w:tc>
        <w:tc>
          <w:tcPr>
            <w:tcW w:w="1848" w:type="dxa"/>
            <w:tcBorders>
              <w:top w:val="single" w:sz="8" w:space="0" w:color="009AC3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CA5529" w:rsidRPr="00CA5529" w:rsidTr="00CA5529">
        <w:trPr>
          <w:trHeight w:val="20"/>
        </w:trPr>
        <w:tc>
          <w:tcPr>
            <w:tcW w:w="995" w:type="dxa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A5529" w:rsidRPr="00CA5529" w:rsidTr="00CA5529">
        <w:trPr>
          <w:trHeight w:val="3418"/>
        </w:trPr>
        <w:tc>
          <w:tcPr>
            <w:tcW w:w="995" w:type="dxa"/>
            <w:vMerge w:val="restart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987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Общеуниверситетская комплексная тема "Формирование условий долгосрочного устойчивого развития России: теория и практика" на период 2021-2025 гг.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Приоритетные направления: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Социально-политические, экономические и правовые условия развития человеческого потенциала, общества и государства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Развитие цифровых технологий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 экономике, обществе и государстве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 «Финансовая разведка, управление рисками и экономическая безопасность» профиль Анализ рисков и экономическая безопасность​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Социально-политические, экономические и правовые условия развития человеческого потенциала, общества и государства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цифровых технологий в экономике, обществе и государстве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Наиболее значимые публикации: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Данилова Л.Г., Корниенко М.В. Финансовая стратегия, планирование и бюджетирование: учебное пособие для студентов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 по направлению подготовки 38.03.01 «Экономика» и 38.03.02 «Менеджмент» (все формы обучения) Часть II.- Новороссийск, 2021. – 93 стр.  (Учебное пособие)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Ковалева И.П. Налоги и налоговая система РФ. - Москва: 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Знание-М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2021. – 83 с. (Учебное пособие)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Ковалева И.П. Управленческая экономика. - Краснодар: НИЦ «Академия знаний», 2021. – 55 с. (Учебное пособие)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Баженова С.А. Механизм процесса разработки решений в предпринимательских структурах: условия финансовой нестабильности. - Краснодар: НИЦ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«Академия знаний», 2021. - 134 с.  (Монография)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 Менеджмент. - Москва: издательство «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Знание-М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 г. – 155 с. (Учебное пособие)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И.Н., Гаража Н.А.,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Ирицян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Г.Э. Научно-исследовательская работа студентов. -  Москва: издательство «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Знание-М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2021 г. – 81 с. (Учебное пособие)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Ирицян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Г.Э. Человек и общество в свете данных современной 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биологии.-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Москва, Изд-во «Прометей». 2021. – 188 с. (Монография)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 Н.А. «Восточные рабочие». Труд и повседневная жизнь советских граждан в Третьем рейхе. 1941-1945. - М.: Прометей, 2022. (Монография)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 Совершенствование механизма участия частных клиник в системе обязательного медицинского страхования / Проблемы социальной гигиены, здравоохранения и истории медицины. 2022. Т. 30. № 2. С. 281-287. (Научная статья,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Ковалева И.П. Управленческий учет производственных затрат организации: российский опыт / Учет. Анализ. Аудит. 2022. Т. 9. № 3. С. 64-77. (Научная статья, ВАК)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 Практические аспекты оптимизации управленческого учета и себестоимости в организации / Управленческий учет. 2022. № 12-1. С. 86-92. (Научная статья, ВАК)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 Экономическая сущность и классификация затрат в управленческом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учете: теоретические аспекты / Управленческий учет. 2022. № 12-2. С. 469-479. (Научная статья, ВАК)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Модель маркетинга "голубой океан": теоретические и практические аспекты / Управленческий учет. 2023. № 8. С. 109-118. (Научная статья, ВАК)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 Российские особенности оценки конкурентоспособности предприятия: теоретические и практические аспекты / Вестник академии знаний. 2023. № 5(58). С.471-476. (Научная статья, ВАК)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Н.С. соавторы-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Арзуманян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Басалаев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Ю.М., Басалаева О.Г.,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Бекмурзаева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З.Х., Беляева С.В., Брюханова Н.В.,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Быдтаева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Э.Е., Галенко Е.В.,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Гвасалия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Д.С., Григорьева Н.С., Доронина С.А., Дынник Д.И., Задорин М.Ю.,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Колоткина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Колычева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Ж.Я., Конина Е.А., Круглов В.Н., Кузнецова Ю.А.,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Лагунова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и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др.Самара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2022. Генезис новой парадигмы социально-экономического развития России: экономические, социальные, правовые, общенаучные тенденции и закономерности (монография)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Ирицян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Г.Э., Гаража Н.А. Гуманитарные науки. Вестник Финансового университета. 2023. Т. 13. № 3. С. 135-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.ЭКОНОМИЧЕСКИЕ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ИДЕОЛОГИЧЕСКИЕ ПРИЧИНЫ ИСПОЛЬЗОВАНИЯ ТРЕТЬИМ РЕЙХОМ ПРИНУДИТЕЛЬНОГО ТРУДА «ВОСТОЧНЫХ РАБОЧИХ»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Рзун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И.Г., Королёва Н.В., Гаража Н.А.,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Ирицян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Г.Э. Вестник Алтайской академии экономики и права. 2023. № 5-2. С. 296-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303. БИЗНЕС-МОДЕЛИРОВАНИЕ КАК ИНСТРУМЕНТ РЕАЛИЗАЦИИ СТРАТЕГИЧЕСКОГО АНАЛИЗА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 Н.А. Вестник Академии знаний. 2023. № 4 (57). С. 73-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76.ЭКОНОМИКА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ЗНАНИЙ: ЦИФРОВЫЕ КОМПЕТЕНЦИИ ПРЕПОДАВАТЕЛЯ ГУМАНИТАРНЫХ ДИСЦИПЛИН В ВЫСШЕЙ ШКОЛЕ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И.Н., Гаража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Н.А.Былые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годы. 2022. № 17 (4). С. 1885-1896. БЛАГОТВОРИТЕЛЬНАЯ ДЕЯТЕЛЬНОСТЬ В Г. НОВОРОССИЙСКЕ В КОНЦЕ XIX - НАЧАЛЕ XX ВВ.: ОРГАНИЗАЦИИ И ЧАСТНЫЕ ИНИЦИАТИВЫ</w:t>
            </w:r>
          </w:p>
          <w:p w:rsidR="00CA5529" w:rsidRPr="00CA5529" w:rsidRDefault="00CA5529" w:rsidP="00CA55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Сейфиева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И.Н., Марцева Т.Г.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 социальной гигиены, здравоохранения и истории медицины. 2024. Т. 32. № 1. С. 102-105. ОРГАНИЗАЦИЯ И УПРАВЛЕНИЕ СИСТЕМОЙ МЕДИКО-СОЦИАЛЬНОГО ОБСЛУЖИВАНИЯ В ЗАРУБЕЖНЫХ СТРАНАХ (ЯДРО РИНЦ)</w:t>
            </w:r>
          </w:p>
          <w:p w:rsidR="00CA5529" w:rsidRPr="00CA5529" w:rsidRDefault="00CA5529" w:rsidP="00CA5529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Два патента на электронные учебники:</w:t>
            </w:r>
          </w:p>
          <w:p w:rsidR="00CA5529" w:rsidRPr="00CA5529" w:rsidRDefault="00CA5529" w:rsidP="00CA55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Марцева Т.Г. "Программный комплекс по изучению курса "Экономика"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Свидетельство о регистрации программы для ЭВМ  2021665772, 01.10.2021. Заявка № 2021663572 от 23.08.2021</w:t>
            </w:r>
          </w:p>
          <w:p w:rsidR="00CA5529" w:rsidRPr="00CA5529" w:rsidRDefault="00CA5529" w:rsidP="00CA55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Марцева Т.Г. Инвестиционное кредитование. Электронный учебник для подготовки магистров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Свидетельство о регистрации базы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данных  2021622737, 01.12.2021. Заявка № 2021622650 от 22.11.2021.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Опубликованы  статьи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журналах международных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наукометрических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CA5529" w:rsidRPr="00CA5529" w:rsidRDefault="00CA5529" w:rsidP="00CA55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Андриянова Л.С., Андриянова А.А.,  Корниенко М.В. Экономический анализ предоставления медицинских услуг по обязательному медицинскому страхованию в России в период пандемии // </w:t>
            </w:r>
            <w:hyperlink r:id="rId5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Проблемы социальной гигиены, здравоохранения и истории медицины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2021. Т. 29. </w:t>
            </w:r>
            <w:hyperlink r:id="rId6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№ S1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С. 673-679.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  <w:p w:rsidR="00CA5529" w:rsidRPr="00CA5529" w:rsidRDefault="00CA5529" w:rsidP="00CA55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Андриянова Л.С., Андриянова А.А.,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Рзун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Небылова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Я.Г. Экономические аспекты предоставления медицинских услуг в России в период пандемии // </w:t>
            </w:r>
            <w:hyperlink r:id="rId7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Проблемы социальной гигиены, здравоохранения и истории медицины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2021. Т. 29. </w:t>
            </w:r>
            <w:hyperlink r:id="rId8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№ 5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С. 1060-1065.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  <w:p w:rsidR="00CA5529" w:rsidRPr="00CA5529" w:rsidRDefault="00CA5529" w:rsidP="00CA55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 Н.А., Малышева Е.М., Селюнина Н.В.  Вопросы организации питания и медицинского сопровождения "восточных рабочих" в третьем рейхе (1941-1945 гг.) //  </w:t>
            </w:r>
            <w:hyperlink r:id="rId9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Вопросы истории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2021. </w:t>
            </w:r>
            <w:hyperlink r:id="rId10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№ 12-2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С. 132-141.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WoS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Q2</w:t>
            </w:r>
            <w:hyperlink r:id="rId11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eastAsia="ru-RU"/>
                </w:rPr>
                <w:t>Zayarnaya, I.A.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"https://www.scopus.com/authid/detail.uri?authorId=57207846215" </w:instrTex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Seifieva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, E.N.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"https://www.scopus.com/authid/detail.uri?authorId=57202626427" </w:instrTex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Kunakovskaya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, I.A.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"https://www.scopus.com/authid/detail.uri?authorId=57226798043" </w:instrTex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Rzun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, I.G.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"https://www.scopus.com/authid/detail.uri?authorId=57207843815" </w:instrTex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Danilova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7D8C"/>
                <w:sz w:val="20"/>
                <w:szCs w:val="20"/>
                <w:u w:val="single"/>
                <w:lang w:eastAsia="ru-RU"/>
              </w:rPr>
              <w:t>, L.G.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hyperlink r:id="rId12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val="en-US" w:eastAsia="ru-RU"/>
                </w:rPr>
                <w:t>Evaluation of the Efficiency of Investments in the Financial Market of Russia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// </w:t>
            </w:r>
            <w:hyperlink r:id="rId13" w:history="1">
              <w:r w:rsidRPr="00CA5529">
                <w:rPr>
                  <w:rFonts w:ascii="Times New Roman" w:eastAsia="Times New Roman" w:hAnsi="Times New Roman" w:cs="Times New Roman"/>
                  <w:color w:val="007D8C"/>
                  <w:sz w:val="20"/>
                  <w:szCs w:val="20"/>
                  <w:u w:val="single"/>
                  <w:lang w:val="en-US" w:eastAsia="ru-RU"/>
                </w:rPr>
                <w:t>Lecture Notes in Networks and Systems</w:t>
              </w:r>
            </w:hyperlink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 2022, 245, pp. 927–932​</w:t>
            </w:r>
          </w:p>
          <w:p w:rsidR="00CA5529" w:rsidRPr="00CA5529" w:rsidRDefault="00CA5529" w:rsidP="00CA55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Bylye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Gody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2022. 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6. С. 1885-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1996.Благотворительная деятельность в г. Новороссийске в к. XIX-н. XX вв.: организации и частные инициатив (статья ядро РИНЦ,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A5529" w:rsidRPr="00CA5529" w:rsidRDefault="00CA5529" w:rsidP="00CA55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Баженова С.А., Данилова Л.Г., Ковалева И.П., Корниенко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М.В.Справка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публикации №207 от 09.04.2024 г.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Спецвыпуск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журнала «Проблемы социальной гигиены, здравоохранения и истории медицины» Исследование рынка российских медицинских строительных объектов: оценка стоимости и инвестиции в строительные программы</w:t>
            </w:r>
          </w:p>
          <w:p w:rsidR="00CA5529" w:rsidRPr="00CA5529" w:rsidRDefault="00CA5529" w:rsidP="00CA55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СЕЙФИЕВА Е.Н.,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 И.Н., МАРЦЕВА Т.Г.ПРОБЛЕМЫ СОЦИАЛЬНОЙ ГИГИЕНЫ, ЗДРАВООХРАНЕНИЯ И ИСТОРИИ МЕДИЦИНЫ, 2024, № 1, С 102-105 Организация и управление системой медико-социального обслуживания в зарубежных странах</w:t>
            </w:r>
          </w:p>
          <w:p w:rsidR="00CA5529" w:rsidRPr="00CA5529" w:rsidRDefault="00CA5529" w:rsidP="00CA55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Стрижак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М.С., Снегирева Ю.Ю.,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Ананченкова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П.И.,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Сейфиева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Е.Н., Ковалева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И.П.Проблемы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социальной гигиены, здравоохранения и истории медицины. 2023. Т. 31. № 6. С. 1402-1407. Современные механизмы интеграции медицинских организаций в системе здравоохранения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Опубликованные статьи в журналах РИНЦ, ВАК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Гаража Н.А.,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 Вестник Алтайской академии экономики и права. 2022. № 9-3. С. 334-339.Технологии телемедицины в условиях новой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инфекции: организация управления и развитие (статья ВАК)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Н.В., Кондратьев М.И. Журнал «Вектор экономики», №1, 2022 http://www.vectoreconomy.ru/index.php/number1-2022/matematicheskie-metody-v-ekonomike Оценка динамики и распределения доходов населения в Московской области и факторов, оказывающих влияние на уровень бедности (Статья РИНЦ)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 Н.В.,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Бениаминова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Г.Э. Журнал «Вектор экономики», №1, 2022 http://www.vectoreconomy.ru/index.php/number1-2022/matematicheskie-metody-v-ekonomike Корреляционно-регрессионный анализ собственного капитала и активов банков в Российской Федерации (Статья РИНЦ)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Гаража Н.А. В сборнике: Оккупация и Сопротивление в годы Второй мировой войны. Материалы международного научного онлайн-семинара, посвященного 77-летию Победы Советского Союза над фашистской Германией и ее сателлитами. Науч. редактор и отв. за выпуск Р.Р.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Хисамутдинова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Оренбург, 2022. С. 24-26. Повседневная жизнь «восточных рабочих» в Третьем рейхе: регистрация и осмысление в письмах и воспоминаниях (Статья РИНЦ)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 Н.С. Общество: политика, экономика, право. 2022. № 9 (110). С. 26-32. Анализ и прогнозирование развития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курортно-рекреационного комплекса Краснодарского края (статья ВАК)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 Н.В. Вестник Тульского филиала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Финуниверситета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2022. № 1. С. 414-415.Анализ туристических потоков в Краснодарском крае в период 2020-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 (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РИНЦ)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Мирзаев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Системная перестройка – фундамент устойчивого инновационного 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  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г.Уфа</w:t>
            </w:r>
            <w:proofErr w:type="spellEnd"/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2022г. Формирование профессионального патриотизма у студентов – важнейшая задача каждого вуза (Статья РИНЦ)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Сейфиева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 Н., Литвинова О. С. Управленческий учет. 2022 № 12 Динамика процессов на рынке слияния и поглощения (статья ВАК)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Гаража Н.А. 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Рзун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 Управленческий учет. 2022. № 12-4. Экономическая безопасность личности: правовое регулирование и способы обеспечения (на примере Республики Крым) (статья ВАК)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 Н.А., Вестник Алтайской академии экономики и права. 2023. № 4-2. С. 168-172.Гуманитарные науки в экономике будущего (статья ВАК)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 Н.А. М.: Инфра-М, 2023. 228 с. Экономика и финансы региона: современные тенденции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Рзун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       Гаража Н.А., Королева Н.В.,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Ирицян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Г.Э. Вестник Алтайской академии экономики и права. – 2023. – № 5 (часть 2) – С. 296-303; URL: https://vaael.ru/ru/article/view?id=2841 Бизнес-моделирование как инструмент реализации стратегического 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  (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ВАК)</w:t>
            </w:r>
          </w:p>
          <w:p w:rsidR="00CA5529" w:rsidRPr="00CA5529" w:rsidRDefault="00CA5529" w:rsidP="00CA55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Зайковский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Б.Б., Корниенко М.В.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Вестник Алтайской академии экономики и права. 2024. № 3-3. С. 390-395.СПОСОБЫ МИНИМИЗАЦИИ РИСКОВ НА ВСЕХ ЭТАПАХ ЖИЗНЕННОГО ЦИКЛА ПРОЕКТА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Зайковский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Б.Б.Вестник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Алтайской академии экономики и права. 2024. № 1. С. 67-</w:t>
            </w:r>
            <w:proofErr w:type="gram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70.ЭВОЛЮЦИЯ</w:t>
            </w:r>
            <w:proofErr w:type="gram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МАРКЕТИНГОВЫХ СТРАТЕГИЙ: ОТ ТРАДИЦИОННЫХ МЕТОДОВ К ЦИФРОВОЙ ТРАНСФОРМАЦИИ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Зайковский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учет. 2024. № 1. С. 73-78.ПРИЧИНЫ ОТРИЦАТЕЛЬНОГО ВЛИЯНИЯ ИННОВАЦИОННОГО ПРОЕКТА НА СТОИМОСТЬ КОМПАНИИ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ВЛИЯНИЯ КЛЮЧЕВОЙ СТАВКИ НА ФИНАНСОВЫЕ РИСКИ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Федорова М.А.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2024. № 1. С. 80-83.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Баженова С.А.,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2024. № 2-1. С. 20-25. ОБЗОР СТАРТАПОВ РОССИЙСКОГО РЫНКА ЗА 2021-2023 ГГ. И ФАКТОРОВ, ВЛИЯЮЩИХ НА ОЦЕНКУ ИХ РЫНОЧНОЙ СТОИМОСТИ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Баженова С.А.,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Снегирев Д.М.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Вестник Алтайской академии экономики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права. 2024. № 4-1. С. 18-24. ОБЗОР МОЛОДЕЖНЫХ ПРОЕКТОВ И ИНИЦИАТИВ И ИХ ФИНАНСИРОВАНИЯ В КРАСНОДАРСКОМ КРАЕ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Ковалева И.П.,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Савичкин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Д.И.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2024. № 4-2. С. 229-234. ИНВЕСТИЦИОННЫЕ ОСОБЕННОСТИ РАЗВИТИЯ ЗДРАВООХРАНЕНИЯ РОССИИ В УСЛОВИЯХ ЦИФРОВОЙ ТРАНСФОРМАЦИИ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Данилова Л.Г.,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Заярная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Граммова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2024. № 5-2. С. 227-231. МОДЕЛЬ ЦЕНООБРАЗОВАНИЯ НА РЫНКЕ ЦЕННЫХ БУМАГ С УЧЕТОМ СТРАТИФИКАЦИИ ИНВЕСТОРОВ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Данилова Л.Г.,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Ишик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2024. № 4-2. С. 210-215. ПРЕДПРИНИМАТЕЛЬСКИЕ РИСКИ В ТРАНСГРАНИЧНЫХ ТОРГОВЛЕ И БИЗНЕСЕ: ВЫЗОВЫ И РЕШЕНИЯ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Рзун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И.Г., Королева Н.В.</w:t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Вестник Академии знаний. 2024. № 1 (60). С. 289-292. МЕТОДЫ ДИАГНОСТИКИ БИЗНЕС-ПРОЦЕССОВ: ПОНИМАНИЕ КЛЮЧЕВЫХ АСПЕКТОВ ДЛЯ ПОВЫШЕНИЯ ЭФФЕКТИВНОСТИ</w:t>
            </w:r>
          </w:p>
          <w:p w:rsidR="00CA5529" w:rsidRPr="00CA5529" w:rsidRDefault="00CA5529" w:rsidP="00CA55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Сейфиева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Воблая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 Вестник Алтайской академии экономики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права. 2024. № 5-2. С. 195-201. АНАЛИЗ И ОЦЕНКА ТРЕБОВАНИЙ К КАЧЕСТВУ УСЛУГ ИНТЕРНЕТ-ПРОВАЙДИНГА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Помещения для самостоятельной работы обучающихся: аудитории, читальный зал библиотеки. Оборудование: компьютерная техника с подключением к информационно-коммуникационной сети «Интернет» и доступом к электронно-библиотечной системе и электронной информационно-образовательной среде Краснодарского филиала </w:t>
            </w: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Финансового университета, веб-камеры, коммуникационное оборудование, обеспечивающее доступ к сети Интернет. Комплект лицензионного программного обеспечения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Astra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Linux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Libre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Office</w:t>
            </w:r>
            <w:proofErr w:type="spellEnd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Современные профессиональные базы данных и информационные справочные системы: справочная правовая система «Консультант Плюс».​​</w:t>
            </w:r>
          </w:p>
        </w:tc>
      </w:tr>
      <w:tr w:rsidR="00CA5529" w:rsidRPr="00CA5529" w:rsidTr="00CA5529">
        <w:trPr>
          <w:trHeight w:val="1173"/>
        </w:trPr>
        <w:tc>
          <w:tcPr>
            <w:tcW w:w="0" w:type="auto"/>
            <w:vMerge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«Корпоративные финансы»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«Корпоративные финансы и оценка собственности»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842"/>
        </w:trPr>
        <w:tc>
          <w:tcPr>
            <w:tcW w:w="995" w:type="dxa"/>
            <w:vMerge w:val="restart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«Управление бизнесом»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Управление продуктом»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«Логистика» профиль «Логистика»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1035"/>
        </w:trPr>
        <w:tc>
          <w:tcPr>
            <w:tcW w:w="995" w:type="dxa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«Цифровая трансформация управления бизнесом»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«ИТ-менеджмент в бизнесе»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1084"/>
        </w:trPr>
        <w:tc>
          <w:tcPr>
            <w:tcW w:w="995" w:type="dxa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«Реклама и связи с общественностью»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«Интегрированные коммуникации»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927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«Туристический бизнес»</w:t>
            </w:r>
          </w:p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«Туристический бизнес»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423"/>
        </w:trPr>
        <w:tc>
          <w:tcPr>
            <w:tcW w:w="995" w:type="dxa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«Оценка бизнеса и корпоративные финансы»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A5529" w:rsidRPr="00CA5529" w:rsidTr="00CA5529">
        <w:trPr>
          <w:trHeight w:val="927"/>
        </w:trPr>
        <w:tc>
          <w:tcPr>
            <w:tcW w:w="995" w:type="dxa"/>
            <w:tcBorders>
              <w:top w:val="nil"/>
              <w:left w:val="single" w:sz="8" w:space="0" w:color="009AC3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 «Корпоративное управление»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A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9AC3"/>
              <w:right w:val="single" w:sz="8" w:space="0" w:color="009AC3"/>
            </w:tcBorders>
            <w:vAlign w:val="center"/>
            <w:hideMark/>
          </w:tcPr>
          <w:p w:rsidR="00CA5529" w:rsidRPr="00CA5529" w:rsidRDefault="00CA5529" w:rsidP="00CA5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bookmarkEnd w:id="0"/>
    <w:p w:rsidR="00386060" w:rsidRDefault="00CA5529" w:rsidP="00CA5529">
      <w:pPr>
        <w:jc w:val="center"/>
      </w:pPr>
      <w:r w:rsidRPr="00CA55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​</w:t>
      </w:r>
    </w:p>
    <w:sectPr w:rsidR="00386060" w:rsidSect="00CA5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5B"/>
    <w:multiLevelType w:val="multilevel"/>
    <w:tmpl w:val="0050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7E73"/>
    <w:multiLevelType w:val="multilevel"/>
    <w:tmpl w:val="A4A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62779"/>
    <w:multiLevelType w:val="multilevel"/>
    <w:tmpl w:val="EE5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80BFA"/>
    <w:multiLevelType w:val="multilevel"/>
    <w:tmpl w:val="578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C4FC2"/>
    <w:multiLevelType w:val="multilevel"/>
    <w:tmpl w:val="03B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92862"/>
    <w:multiLevelType w:val="multilevel"/>
    <w:tmpl w:val="E0F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29"/>
    <w:rsid w:val="00386060"/>
    <w:rsid w:val="00C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1728-3A4A-4257-9414-04612F3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529"/>
    <w:rPr>
      <w:b/>
      <w:bCs/>
    </w:rPr>
  </w:style>
  <w:style w:type="paragraph" w:styleId="a4">
    <w:name w:val="List Paragraph"/>
    <w:basedOn w:val="a"/>
    <w:uiPriority w:val="34"/>
    <w:qFormat/>
    <w:rsid w:val="00C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5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6696128&amp;selid=46696134" TargetMode="External"/><Relationship Id="rId13" Type="http://schemas.openxmlformats.org/officeDocument/2006/relationships/hyperlink" Target="https://www.scopus.com/sourceid/21100901469?origin=results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6696128" TargetMode="External"/><Relationship Id="rId12" Type="http://schemas.openxmlformats.org/officeDocument/2006/relationships/hyperlink" Target="https://www.scopus.com/record/display.uri?eid=2-s2.0-85120889620&amp;origin=resultslist&amp;sort=plf-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46379684&amp;selid=46379704" TargetMode="External"/><Relationship Id="rId11" Type="http://schemas.openxmlformats.org/officeDocument/2006/relationships/hyperlink" Target="https://www.scopus.com/authid/detail.uri?authorId=57206204838" TargetMode="External"/><Relationship Id="rId5" Type="http://schemas.openxmlformats.org/officeDocument/2006/relationships/hyperlink" Target="https://www.elibrary.ru/contents.asp?id=463796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contents.asp?id=47431190&amp;selid=47431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74311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2024-11-14T09:42:00Z</dcterms:created>
  <dcterms:modified xsi:type="dcterms:W3CDTF">2024-11-14T09:46:00Z</dcterms:modified>
</cp:coreProperties>
</file>